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jc w:val="center"/>
      </w:pPr>
      <w:r>
        <w:rPr>
          <w:rFonts w:ascii="Arial" w:cs="Arial" w:eastAsia="Arial" w:hAnsi="Arial"/>
          <w:b/>
          <w:bCs/>
          <w:color w:val="1A6B8A"/>
          <w:sz w:val="52"/>
          <w:szCs w:val="52"/>
        </w:rPr>
        <w:t xml:space="preserve">DAPPIEHUB</w:t>
      </w:r>
    </w:p>
    <w:p>
      <w:pPr>
        <w:spacing w:after="40" w:before="0"/>
        <w:jc w:val="center"/>
      </w:pPr>
      <w:r>
        <w:rPr>
          <w:rFonts w:ascii="Arial" w:cs="Arial" w:eastAsia="Arial" w:hAnsi="Arial"/>
          <w:b/>
          <w:bCs/>
          <w:color w:val="1A1A1A"/>
          <w:sz w:val="36"/>
          <w:szCs w:val="36"/>
        </w:rPr>
        <w:t xml:space="preserve">Data Processing Agreement</w:t>
      </w:r>
    </w:p>
    <w:p>
      <w:pPr>
        <w:spacing w:after="200" w:before="0"/>
        <w:jc w:val="center"/>
      </w:pPr>
      <w:r>
        <w:rPr>
          <w:rFonts w:ascii="Arial" w:cs="Arial" w:eastAsia="Arial" w:hAnsi="Arial"/>
          <w:color w:val="666666"/>
          <w:sz w:val="20"/>
          <w:szCs w:val="20"/>
        </w:rPr>
        <w:t xml:space="preserve">Version 2.0 — June 2026</w:t>
      </w:r>
    </w:p>
    <w:p>
      <w:pPr>
        <w:pBdr>
          <w:bottom w:val="single" w:color="1A6B8A" w:sz="4" w:space="1"/>
        </w:pBdr>
        <w:spacing w:after="160" w:before="160"/>
      </w:pPr>
    </w:p>
    <w:p>
      <w:pPr>
        <w:spacing w:after="80" w:before="80"/>
      </w:pPr>
      <w:r>
        <w:rPr>
          <w:rFonts w:ascii="Arial" w:cs="Arial" w:eastAsia="Arial" w:hAnsi="Arial"/>
          <w:sz w:val="22"/>
          <w:szCs w:val="22"/>
        </w:rPr>
        <w:t xml:space="preserve">This Data Processing Agreement ("DPA") is incorporated into and forms part of the Dappiehub Terms of Service between Dappiehub ("Processor") and the subscribing organisation ("Controller"). It sets out the terms on which Dappiehub will process personal data on behalf of the Controller in connection with the Dappiehub AI-powered workflow automation platform (the "Platform").</w:t>
      </w:r>
    </w:p>
    <w:p>
      <w:pPr>
        <w:spacing w:after="60" w:before="60"/>
      </w:pPr>
    </w:p>
    <w:p>
      <w:pPr>
        <w:spacing w:after="80" w:before="80"/>
      </w:pPr>
      <w:r>
        <w:rPr>
          <w:rFonts w:ascii="Arial" w:cs="Arial" w:eastAsia="Arial" w:hAnsi="Arial"/>
          <w:sz w:val="22"/>
          <w:szCs w:val="22"/>
        </w:rPr>
        <w:t xml:space="preserve">This DPA is entered into in accordance with Article 28 of the UK General Data Protection Regulation (UK GDPR) and the Data Protection Act 2018.</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 Definitions</w:t>
      </w:r>
    </w:p>
    <w:p>
      <w:pPr>
        <w:spacing w:after="80" w:before="80"/>
      </w:pPr>
      <w:r>
        <w:rPr>
          <w:rFonts w:ascii="Arial" w:cs="Arial" w:eastAsia="Arial" w:hAnsi="Arial"/>
          <w:sz w:val="22"/>
          <w:szCs w:val="22"/>
        </w:rPr>
        <w:t xml:space="preserve">In this DPA, the following terms have the meanings given below. Capitalised terms not defined here have the meanings given in the UK GDPR.</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Controller</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The subscribing organisation or customer that determines the purposes and means of processing personal data inputted into the Platform.</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Processor</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Dappiehub, which processes personal data on behalf of the Controller in operating the Platform.</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Personal Data</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Any information relating to an identified or identifiable natural person processed through the Platform, including contact details, lead data, and any personal information contained in workspace content.</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Processing</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Any operation performed on Personal Data, including collection, storage, use, disclosure, or deletion.</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Sub-Processor</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Any third-party processor engaged by Dappiehub to process Personal Data in connection with the Platform, including AI providers.</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UK GDPR</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The retained EU law version of the General Data Protection Regulation as it forms part of UK law under the European Union (Withdrawal) Act 2018.</w:t>
            </w:r>
          </w:p>
        </w:tc>
      </w:tr>
    </w:tbl>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2. Scope and Nature of Processing</w:t>
      </w:r>
    </w:p>
    <w:p>
      <w:pPr>
        <w:spacing w:after="80" w:before="80"/>
      </w:pPr>
      <w:r>
        <w:rPr>
          <w:rFonts w:ascii="Arial" w:cs="Arial" w:eastAsia="Arial" w:hAnsi="Arial"/>
          <w:sz w:val="22"/>
          <w:szCs w:val="22"/>
        </w:rPr>
        <w:t xml:space="preserve">The Processor shall process Personal Data only as necessary to provide the Platform services to the Controller. The details of processing are as follows:</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Subject matter</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Operation of the Dappiehub AI-powered workflow automation platform</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Duration</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For the term of the Controller's subscription, plus any retention period required by law</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Nature of processing</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Storage, retrieval, AI-assisted content generation, email notifications, display within the Platform workspace</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Purpose of processing</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Enabling the Controller to use AI-assisted workflows, manage content, and operate its business through the Platform</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Types of Personal Data</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Customer or contact details (name, email, phone), enquiry content, and any personal information included in workspace content</w:t>
            </w:r>
          </w:p>
        </w:tc>
      </w:tr>
    </w:tbl>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Categories of data subjects</w:t>
            </w:r>
          </w:p>
        </w:tc>
        <w:tc>
          <w:tcPr>
            <w:tcW w:type="dxa" w:w="66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The Controller's clients, customers, and contacts</w:t>
            </w:r>
          </w:p>
        </w:tc>
      </w:tr>
    </w:tbl>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3. Processor Obligations</w:t>
      </w:r>
    </w:p>
    <w:p>
      <w:pPr>
        <w:spacing w:after="80" w:before="80"/>
      </w:pPr>
      <w:r>
        <w:rPr>
          <w:rFonts w:ascii="Arial" w:cs="Arial" w:eastAsia="Arial" w:hAnsi="Arial"/>
          <w:sz w:val="22"/>
          <w:szCs w:val="22"/>
        </w:rPr>
        <w:t xml:space="preserve">The Processor shall:</w:t>
      </w:r>
    </w:p>
    <w:p>
      <w:pPr>
        <w:pStyle w:val="ListParagraph"/>
        <w:numPr>
          <w:ilvl w:val="0"/>
          <w:numId w:val="2"/>
        </w:numPr>
        <w:spacing w:after="60" w:before="60"/>
      </w:pPr>
      <w:r>
        <w:rPr>
          <w:rFonts w:ascii="Arial" w:cs="Arial" w:eastAsia="Arial" w:hAnsi="Arial"/>
          <w:sz w:val="22"/>
          <w:szCs w:val="22"/>
        </w:rPr>
        <w:t xml:space="preserve">Process Personal Data only on documented instructions from the Controller, including with regard to transfers of Personal Data to a third country or international organisation, unless required to do so by applicable law</w:t>
      </w:r>
    </w:p>
    <w:p>
      <w:pPr>
        <w:pStyle w:val="ListParagraph"/>
        <w:numPr>
          <w:ilvl w:val="0"/>
          <w:numId w:val="2"/>
        </w:numPr>
        <w:spacing w:after="60" w:before="60"/>
      </w:pPr>
      <w:r>
        <w:rPr>
          <w:rFonts w:ascii="Arial" w:cs="Arial" w:eastAsia="Arial" w:hAnsi="Arial"/>
          <w:sz w:val="22"/>
          <w:szCs w:val="22"/>
        </w:rPr>
        <w:t xml:space="preserve">Ensure that persons authorised to process Personal Data have committed themselves to confidentiality or are under an appropriate statutory obligation of confidentiality</w:t>
      </w:r>
    </w:p>
    <w:p>
      <w:pPr>
        <w:pStyle w:val="ListParagraph"/>
        <w:numPr>
          <w:ilvl w:val="0"/>
          <w:numId w:val="2"/>
        </w:numPr>
        <w:spacing w:after="60" w:before="60"/>
      </w:pPr>
      <w:r>
        <w:rPr>
          <w:rFonts w:ascii="Arial" w:cs="Arial" w:eastAsia="Arial" w:hAnsi="Arial"/>
          <w:sz w:val="22"/>
          <w:szCs w:val="22"/>
        </w:rPr>
        <w:t xml:space="preserve">Implement appropriate technical and organisational measures to ensure a level of security appropriate to the risk, including as appropriate: (a) encryption of Personal Data; (b) the ability to ensure ongoing confidentiality, integrity, availability and resilience of processing systems; (c) a process for regularly testing and evaluating the effectiveness of technical and organisational measures</w:t>
      </w:r>
    </w:p>
    <w:p>
      <w:pPr>
        <w:pStyle w:val="ListParagraph"/>
        <w:numPr>
          <w:ilvl w:val="0"/>
          <w:numId w:val="2"/>
        </w:numPr>
        <w:spacing w:after="60" w:before="60"/>
      </w:pPr>
      <w:r>
        <w:rPr>
          <w:rFonts w:ascii="Arial" w:cs="Arial" w:eastAsia="Arial" w:hAnsi="Arial"/>
          <w:sz w:val="22"/>
          <w:szCs w:val="22"/>
        </w:rPr>
        <w:t xml:space="preserve">Respect the conditions referred to in Clause 4 for engaging Sub-Processors</w:t>
      </w:r>
    </w:p>
    <w:p>
      <w:pPr>
        <w:pStyle w:val="ListParagraph"/>
        <w:numPr>
          <w:ilvl w:val="0"/>
          <w:numId w:val="2"/>
        </w:numPr>
        <w:spacing w:after="60" w:before="60"/>
      </w:pPr>
      <w:r>
        <w:rPr>
          <w:rFonts w:ascii="Arial" w:cs="Arial" w:eastAsia="Arial" w:hAnsi="Arial"/>
          <w:sz w:val="22"/>
          <w:szCs w:val="22"/>
        </w:rPr>
        <w:t xml:space="preserve">Taking into account the nature of processing, assist the Controller by appropriate technical and organisational measures, insofar as possible, with the fulfilment of the Controller's obligations to respond to requests for exercising data subjects' rights</w:t>
      </w:r>
    </w:p>
    <w:p>
      <w:pPr>
        <w:pStyle w:val="ListParagraph"/>
        <w:numPr>
          <w:ilvl w:val="0"/>
          <w:numId w:val="2"/>
        </w:numPr>
        <w:spacing w:after="60" w:before="60"/>
      </w:pPr>
      <w:r>
        <w:rPr>
          <w:rFonts w:ascii="Arial" w:cs="Arial" w:eastAsia="Arial" w:hAnsi="Arial"/>
          <w:sz w:val="22"/>
          <w:szCs w:val="22"/>
        </w:rPr>
        <w:t xml:space="preserve">Assist the Controller in ensuring compliance with obligations relating to security, breach notification, data protection impact assessments, and prior consultation</w:t>
      </w:r>
    </w:p>
    <w:p>
      <w:pPr>
        <w:pStyle w:val="ListParagraph"/>
        <w:numPr>
          <w:ilvl w:val="0"/>
          <w:numId w:val="2"/>
        </w:numPr>
        <w:spacing w:after="60" w:before="60"/>
      </w:pPr>
      <w:r>
        <w:rPr>
          <w:rFonts w:ascii="Arial" w:cs="Arial" w:eastAsia="Arial" w:hAnsi="Arial"/>
          <w:sz w:val="22"/>
          <w:szCs w:val="22"/>
        </w:rPr>
        <w:t xml:space="preserve">At the choice of the Controller, delete or return all Personal Data to the Controller after the end of the provision of services, and delete existing copies unless applicable law requires storage</w:t>
      </w:r>
    </w:p>
    <w:p>
      <w:pPr>
        <w:pStyle w:val="ListParagraph"/>
        <w:numPr>
          <w:ilvl w:val="0"/>
          <w:numId w:val="2"/>
        </w:numPr>
        <w:spacing w:after="60" w:before="60"/>
      </w:pPr>
      <w:r>
        <w:rPr>
          <w:rFonts w:ascii="Arial" w:cs="Arial" w:eastAsia="Arial" w:hAnsi="Arial"/>
          <w:sz w:val="22"/>
          <w:szCs w:val="22"/>
        </w:rPr>
        <w:t xml:space="preserve">Make available to the Controller all information necessary to demonstrate compliance with this DPA</w:t>
      </w:r>
    </w:p>
    <w:p>
      <w:pPr>
        <w:pStyle w:val="ListParagraph"/>
        <w:numPr>
          <w:ilvl w:val="0"/>
          <w:numId w:val="2"/>
        </w:numPr>
        <w:spacing w:after="60" w:before="60"/>
      </w:pPr>
      <w:r>
        <w:rPr>
          <w:rFonts w:ascii="Arial" w:cs="Arial" w:eastAsia="Arial" w:hAnsi="Arial"/>
          <w:sz w:val="22"/>
          <w:szCs w:val="22"/>
        </w:rPr>
        <w:t xml:space="preserve">Notify the Controller without undue delay (and in any event within 48 hours) after becoming aware of a Personal Data breach</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4. AI Processing</w:t>
      </w:r>
    </w:p>
    <w:p>
      <w:pPr>
        <w:spacing w:after="80" w:before="80"/>
      </w:pPr>
      <w:r>
        <w:rPr>
          <w:rFonts w:ascii="Arial" w:cs="Arial" w:eastAsia="Arial" w:hAnsi="Arial"/>
          <w:sz w:val="22"/>
          <w:szCs w:val="22"/>
        </w:rPr>
        <w:t xml:space="preserve">Where the Processor uses third-party AI providers to deliver AI-assisted features of the Platform, the following additional terms apply:</w:t>
      </w:r>
    </w:p>
    <w:p>
      <w:pPr>
        <w:pStyle w:val="ListParagraph"/>
        <w:numPr>
          <w:ilvl w:val="0"/>
          <w:numId w:val="2"/>
        </w:numPr>
        <w:spacing w:after="60" w:before="60"/>
      </w:pPr>
      <w:r>
        <w:rPr>
          <w:rFonts w:ascii="Arial" w:cs="Arial" w:eastAsia="Arial" w:hAnsi="Arial"/>
          <w:sz w:val="22"/>
          <w:szCs w:val="22"/>
        </w:rPr>
        <w:t xml:space="preserve">AI providers act solely as Sub-Processors of the Processor and are bound by the same obligations set out in Clause 5 below.</w:t>
      </w:r>
    </w:p>
    <w:p>
      <w:pPr>
        <w:pStyle w:val="ListParagraph"/>
        <w:numPr>
          <w:ilvl w:val="0"/>
          <w:numId w:val="2"/>
        </w:numPr>
        <w:spacing w:after="60" w:before="60"/>
      </w:pPr>
      <w:r>
        <w:rPr>
          <w:rFonts w:ascii="Arial" w:cs="Arial" w:eastAsia="Arial" w:hAnsi="Arial"/>
          <w:sz w:val="22"/>
          <w:szCs w:val="22"/>
        </w:rPr>
        <w:t xml:space="preserve">Personal Data is transmitted to AI providers only to the extent necessary to fulfil the specific request made by the Controller's authorised users.</w:t>
      </w:r>
    </w:p>
    <w:p>
      <w:pPr>
        <w:pStyle w:val="ListParagraph"/>
        <w:numPr>
          <w:ilvl w:val="0"/>
          <w:numId w:val="2"/>
        </w:numPr>
        <w:spacing w:after="60" w:before="60"/>
      </w:pPr>
      <w:r>
        <w:rPr>
          <w:rFonts w:ascii="Arial" w:cs="Arial" w:eastAsia="Arial" w:hAnsi="Arial"/>
          <w:sz w:val="22"/>
          <w:szCs w:val="22"/>
        </w:rPr>
        <w:t xml:space="preserve">The Processor maintains appropriate contractual safeguards with its AI providers, including restrictions on the use of Controller Personal Data for model training purposes.</w:t>
      </w:r>
    </w:p>
    <w:p>
      <w:pPr>
        <w:pStyle w:val="ListParagraph"/>
        <w:numPr>
          <w:ilvl w:val="0"/>
          <w:numId w:val="2"/>
        </w:numPr>
        <w:spacing w:after="60" w:before="60"/>
      </w:pPr>
      <w:r>
        <w:rPr>
          <w:rFonts w:ascii="Arial" w:cs="Arial" w:eastAsia="Arial" w:hAnsi="Arial"/>
          <w:sz w:val="22"/>
          <w:szCs w:val="22"/>
        </w:rPr>
        <w:t xml:space="preserve">The Processor shall notify the Controller of any change to its AI Sub-Processors in accordance with the notice procedure in Clause 5.</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5. Sub-Processors</w:t>
      </w:r>
    </w:p>
    <w:p>
      <w:pPr>
        <w:spacing w:after="80" w:before="80"/>
      </w:pPr>
      <w:r>
        <w:rPr>
          <w:rFonts w:ascii="Arial" w:cs="Arial" w:eastAsia="Arial" w:hAnsi="Arial"/>
          <w:sz w:val="22"/>
          <w:szCs w:val="22"/>
        </w:rPr>
        <w:t xml:space="preserve">The Controller grants the Processor general written authorisation to engage Sub-Processors. The current list of approved Sub-Processors is:</w:t>
      </w:r>
    </w:p>
    <w:p>
      <w:pPr>
        <w:spacing w:after="60" w:before="6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3500"/>
        <w:gridCol w:w="3526"/>
      </w:tblGrid>
      <w:tr>
        <w:tc>
          <w:tcPr>
            <w:tcW w:type="dxa" w:w="20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Sub-Processor</w:t>
            </w:r>
          </w:p>
        </w:tc>
        <w:tc>
          <w:tcPr>
            <w:tcW w:type="dxa" w:w="3500"/>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Service</w:t>
            </w:r>
          </w:p>
        </w:tc>
        <w:tc>
          <w:tcPr>
            <w:tcW w:type="dxa" w:w="3526"/>
            <w:tcBorders>
              <w:top w:val="single" w:color="CCCCCC" w:sz="1"/>
              <w:left w:val="single" w:color="CCCCCC" w:sz="1"/>
              <w:bottom w:val="single" w:color="CCCCCC" w:sz="1"/>
              <w:right w:val="single" w:color="CCCCCC" w:sz="1"/>
            </w:tcBorders>
            <w:shd w:fill="EAF4F8" w:val="clear"/>
            <w:tcMar>
              <w:top w:type="dxa" w:w="80"/>
              <w:left w:type="dxa" w:w="120"/>
              <w:bottom w:type="dxa" w:w="80"/>
              <w:right w:type="dxa" w:w="120"/>
            </w:tcMar>
          </w:tcPr>
          <w:p>
            <w:r>
              <w:rPr>
                <w:rFonts w:ascii="Arial" w:cs="Arial" w:eastAsia="Arial" w:hAnsi="Arial"/>
                <w:b/>
                <w:bCs/>
                <w:sz w:val="20"/>
                <w:szCs w:val="20"/>
              </w:rPr>
              <w:t xml:space="preserve">Location</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Supabase, Inc.</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Database, authentication, file storage</w:t>
            </w:r>
          </w:p>
        </w:tc>
        <w:tc>
          <w:tcPr>
            <w:tcW w:type="dxa" w:w="3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EU (Ireland)</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Netlify, Inc.</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Platform hosting and CDN</w:t>
            </w:r>
          </w:p>
        </w:tc>
        <w:tc>
          <w:tcPr>
            <w:tcW w:type="dxa" w:w="3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EU / United States</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Anthropic, PBC</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AI-assisted content generation via API</w:t>
            </w:r>
          </w:p>
        </w:tc>
        <w:tc>
          <w:tcPr>
            <w:tcW w:type="dxa" w:w="3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United States</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Stripe, Inc.</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Payment processing</w:t>
            </w:r>
          </w:p>
        </w:tc>
        <w:tc>
          <w:tcPr>
            <w:tcW w:type="dxa" w:w="3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EU / United States</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Resend, Inc.</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Transactional email delivery</w:t>
            </w:r>
          </w:p>
        </w:tc>
        <w:tc>
          <w:tcPr>
            <w:tcW w:type="dxa" w:w="3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United States</w:t>
            </w:r>
          </w:p>
        </w:tc>
      </w:tr>
      <w:tr>
        <w:tc>
          <w:tcPr>
            <w:tcW w:type="dxa" w:w="20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Google LLC</w:t>
            </w:r>
          </w:p>
        </w:tc>
        <w:tc>
          <w:tcPr>
            <w:tcW w:type="dxa" w:w="3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Optional OAuth authentication</w:t>
            </w:r>
          </w:p>
        </w:tc>
        <w:tc>
          <w:tcPr>
            <w:tcW w:type="dxa" w:w="3526"/>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val="false"/>
                <w:bCs w:val="false"/>
                <w:sz w:val="20"/>
                <w:szCs w:val="20"/>
              </w:rPr>
              <w:t xml:space="preserve">EU / United States</w:t>
            </w:r>
          </w:p>
        </w:tc>
      </w:tr>
    </w:tbl>
    <w:p>
      <w:pPr>
        <w:spacing w:after="60" w:before="60"/>
      </w:pPr>
    </w:p>
    <w:p>
      <w:pPr>
        <w:spacing w:after="80" w:before="80"/>
      </w:pPr>
      <w:r>
        <w:rPr>
          <w:rFonts w:ascii="Arial" w:cs="Arial" w:eastAsia="Arial" w:hAnsi="Arial"/>
          <w:sz w:val="22"/>
          <w:szCs w:val="22"/>
        </w:rPr>
        <w:t xml:space="preserve">The Processor shall inform the Controller of any intended changes to Sub-Processors by updating the sub-processor list at dappiehub.com/subprocessors and providing at least 14 days' written notice by email. The Controller may object to any new Sub-Processor on reasonable grounds relating to data protection within 14 days of notification. Where the parties cannot resolve such objection, either party may terminate the relevant services on reasonable notice.</w:t>
      </w:r>
    </w:p>
    <w:p>
      <w:pPr>
        <w:spacing w:after="80" w:before="80"/>
      </w:pPr>
      <w:r>
        <w:rPr>
          <w:rFonts w:ascii="Arial" w:cs="Arial" w:eastAsia="Arial" w:hAnsi="Arial"/>
          <w:sz w:val="22"/>
          <w:szCs w:val="22"/>
        </w:rPr>
        <w:t xml:space="preserve">The Processor shall impose data protection obligations on each Sub-Processor equivalent to those set out in this DPA.</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6. International Data Transfers</w:t>
      </w:r>
    </w:p>
    <w:p>
      <w:pPr>
        <w:spacing w:after="80" w:before="80"/>
      </w:pPr>
      <w:r>
        <w:rPr>
          <w:rFonts w:ascii="Arial" w:cs="Arial" w:eastAsia="Arial" w:hAnsi="Arial"/>
          <w:sz w:val="22"/>
          <w:szCs w:val="22"/>
        </w:rPr>
        <w:t xml:space="preserve">Where the Processor transfers Personal Data to Sub-Processors located outside the UK or the EEA, the Processor shall ensure that such transfers are subject to appropriate safeguards in accordance with UK GDPR, including:</w:t>
      </w:r>
    </w:p>
    <w:p>
      <w:pPr>
        <w:pStyle w:val="ListParagraph"/>
        <w:numPr>
          <w:ilvl w:val="0"/>
          <w:numId w:val="2"/>
        </w:numPr>
        <w:spacing w:after="60" w:before="60"/>
      </w:pPr>
      <w:r>
        <w:rPr>
          <w:rFonts w:ascii="Arial" w:cs="Arial" w:eastAsia="Arial" w:hAnsi="Arial"/>
          <w:sz w:val="22"/>
          <w:szCs w:val="22"/>
        </w:rPr>
        <w:t xml:space="preserve">Standard Contractual Clauses (SCCs) as approved by the ICO or incorporated into the UK International Data Transfer Agreement (IDTA); or</w:t>
      </w:r>
    </w:p>
    <w:p>
      <w:pPr>
        <w:pStyle w:val="ListParagraph"/>
        <w:numPr>
          <w:ilvl w:val="0"/>
          <w:numId w:val="2"/>
        </w:numPr>
        <w:spacing w:after="60" w:before="60"/>
      </w:pPr>
      <w:r>
        <w:rPr>
          <w:rFonts w:ascii="Arial" w:cs="Arial" w:eastAsia="Arial" w:hAnsi="Arial"/>
          <w:sz w:val="22"/>
          <w:szCs w:val="22"/>
        </w:rPr>
        <w:t xml:space="preserve">Any other mechanism recognised under UK GDPR as providing an adequate level of protection</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7. Customer Data Ownership</w:t>
      </w:r>
    </w:p>
    <w:p>
      <w:pPr>
        <w:spacing w:after="80" w:before="80"/>
      </w:pPr>
      <w:r>
        <w:rPr>
          <w:rFonts w:ascii="Arial" w:cs="Arial" w:eastAsia="Arial" w:hAnsi="Arial"/>
          <w:sz w:val="22"/>
          <w:szCs w:val="22"/>
        </w:rPr>
        <w:t xml:space="preserve">The Controller retains full ownership of all Personal Data and other content processed through the Platform. The Processor acquires no ownership rights in such data beyond the limited licence necessary to operate the Platform and provide the services described in this DPA and the Terms of Service. This licence terminates upon deletion or return of data under Clause 11.</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8. Controller Obligations</w:t>
      </w:r>
    </w:p>
    <w:p>
      <w:pPr>
        <w:spacing w:after="80" w:before="80"/>
      </w:pPr>
      <w:r>
        <w:rPr>
          <w:rFonts w:ascii="Arial" w:cs="Arial" w:eastAsia="Arial" w:hAnsi="Arial"/>
          <w:sz w:val="22"/>
          <w:szCs w:val="22"/>
        </w:rPr>
        <w:t xml:space="preserve">The Controller warrants and represents that:</w:t>
      </w:r>
    </w:p>
    <w:p>
      <w:pPr>
        <w:pStyle w:val="ListParagraph"/>
        <w:numPr>
          <w:ilvl w:val="0"/>
          <w:numId w:val="2"/>
        </w:numPr>
        <w:spacing w:after="60" w:before="60"/>
      </w:pPr>
      <w:r>
        <w:rPr>
          <w:rFonts w:ascii="Arial" w:cs="Arial" w:eastAsia="Arial" w:hAnsi="Arial"/>
          <w:sz w:val="22"/>
          <w:szCs w:val="22"/>
        </w:rPr>
        <w:t xml:space="preserve">It has a lawful basis under UK GDPR for processing all Personal Data inputted into the Platform</w:t>
      </w:r>
    </w:p>
    <w:p>
      <w:pPr>
        <w:pStyle w:val="ListParagraph"/>
        <w:numPr>
          <w:ilvl w:val="0"/>
          <w:numId w:val="2"/>
        </w:numPr>
        <w:spacing w:after="60" w:before="60"/>
      </w:pPr>
      <w:r>
        <w:rPr>
          <w:rFonts w:ascii="Arial" w:cs="Arial" w:eastAsia="Arial" w:hAnsi="Arial"/>
          <w:sz w:val="22"/>
          <w:szCs w:val="22"/>
        </w:rPr>
        <w:t xml:space="preserve">It has provided all required notices to and obtained all required consents from data subjects as necessary</w:t>
      </w:r>
    </w:p>
    <w:p>
      <w:pPr>
        <w:pStyle w:val="ListParagraph"/>
        <w:numPr>
          <w:ilvl w:val="0"/>
          <w:numId w:val="2"/>
        </w:numPr>
        <w:spacing w:after="60" w:before="60"/>
      </w:pPr>
      <w:r>
        <w:rPr>
          <w:rFonts w:ascii="Arial" w:cs="Arial" w:eastAsia="Arial" w:hAnsi="Arial"/>
          <w:sz w:val="22"/>
          <w:szCs w:val="22"/>
        </w:rPr>
        <w:t xml:space="preserve">The instructions it gives to the Processor in relation to processing of Personal Data will at all times comply with applicable data protection law</w:t>
      </w:r>
    </w:p>
    <w:p>
      <w:pPr>
        <w:pStyle w:val="ListParagraph"/>
        <w:numPr>
          <w:ilvl w:val="0"/>
          <w:numId w:val="2"/>
        </w:numPr>
        <w:spacing w:after="60" w:before="60"/>
      </w:pPr>
      <w:r>
        <w:rPr>
          <w:rFonts w:ascii="Arial" w:cs="Arial" w:eastAsia="Arial" w:hAnsi="Arial"/>
          <w:sz w:val="22"/>
          <w:szCs w:val="22"/>
        </w:rPr>
        <w:t xml:space="preserve">It will not instruct the Processor to process Personal Data in any way that would breach applicable data protection law</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9. Data Subject Rights</w:t>
      </w:r>
    </w:p>
    <w:p>
      <w:pPr>
        <w:spacing w:after="80" w:before="80"/>
      </w:pPr>
      <w:r>
        <w:rPr>
          <w:rFonts w:ascii="Arial" w:cs="Arial" w:eastAsia="Arial" w:hAnsi="Arial"/>
          <w:sz w:val="22"/>
          <w:szCs w:val="22"/>
        </w:rPr>
        <w:t xml:space="preserve">The Processor shall, upon receiving a written request from the Controller, provide reasonable assistance to enable the Controller to respond to requests from data subjects exercising their rights under UK GDPR (including rights of access, rectification, erasure, restriction, portability, and objection).</w:t>
      </w:r>
    </w:p>
    <w:p>
      <w:pPr>
        <w:spacing w:after="80" w:before="80"/>
      </w:pPr>
      <w:r>
        <w:rPr>
          <w:rFonts w:ascii="Arial" w:cs="Arial" w:eastAsia="Arial" w:hAnsi="Arial"/>
          <w:sz w:val="22"/>
          <w:szCs w:val="22"/>
        </w:rPr>
        <w:t xml:space="preserve">Where a data subject contacts the Processor directly with a rights request relating to Personal Data for which the Controller is the data controller, the Processor shall forward the request to the Controller within 5 business days.</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10. Personal Data Breaches</w:t>
      </w:r>
    </w:p>
    <w:p>
      <w:pPr>
        <w:spacing w:after="80" w:before="80"/>
      </w:pPr>
      <w:r>
        <w:rPr>
          <w:rFonts w:ascii="Arial" w:cs="Arial" w:eastAsia="Arial" w:hAnsi="Arial"/>
          <w:sz w:val="22"/>
          <w:szCs w:val="22"/>
        </w:rPr>
        <w:t xml:space="preserve">In the event of a Personal Data breach affecting Controller Personal Data, the Processor shall:</w:t>
      </w:r>
    </w:p>
    <w:p>
      <w:pPr>
        <w:pStyle w:val="ListParagraph"/>
        <w:numPr>
          <w:ilvl w:val="0"/>
          <w:numId w:val="2"/>
        </w:numPr>
        <w:spacing w:after="60" w:before="60"/>
      </w:pPr>
      <w:r>
        <w:rPr>
          <w:rFonts w:ascii="Arial" w:cs="Arial" w:eastAsia="Arial" w:hAnsi="Arial"/>
          <w:sz w:val="22"/>
          <w:szCs w:val="22"/>
        </w:rPr>
        <w:t xml:space="preserve">Notify the Controller without undue delay and in any event within 48 hours of becoming aware of the breach</w:t>
      </w:r>
    </w:p>
    <w:p>
      <w:pPr>
        <w:pStyle w:val="ListParagraph"/>
        <w:numPr>
          <w:ilvl w:val="0"/>
          <w:numId w:val="2"/>
        </w:numPr>
        <w:spacing w:after="60" w:before="60"/>
      </w:pPr>
      <w:r>
        <w:rPr>
          <w:rFonts w:ascii="Arial" w:cs="Arial" w:eastAsia="Arial" w:hAnsi="Arial"/>
          <w:sz w:val="22"/>
          <w:szCs w:val="22"/>
        </w:rPr>
        <w:t xml:space="preserve">Provide the Controller with sufficient information to allow it to meet its obligations to report the breach to the ICO and/or affected data subjects, including: the nature of the breach; the categories and approximate number of data subjects and records affected; the likely consequences of the breach; and measures taken or proposed to address the breach</w:t>
      </w:r>
    </w:p>
    <w:p>
      <w:pPr>
        <w:pStyle w:val="ListParagraph"/>
        <w:numPr>
          <w:ilvl w:val="0"/>
          <w:numId w:val="2"/>
        </w:numPr>
        <w:spacing w:after="60" w:before="60"/>
      </w:pPr>
      <w:r>
        <w:rPr>
          <w:rFonts w:ascii="Arial" w:cs="Arial" w:eastAsia="Arial" w:hAnsi="Arial"/>
          <w:sz w:val="22"/>
          <w:szCs w:val="22"/>
        </w:rPr>
        <w:t xml:space="preserve">Cooperate with the Controller and take such steps as are reasonably requested to investigate, mitigate, and remediate the breach</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11. Deletion and Return of Data</w:t>
      </w:r>
    </w:p>
    <w:p>
      <w:pPr>
        <w:spacing w:after="80" w:before="80"/>
      </w:pPr>
      <w:r>
        <w:rPr>
          <w:rFonts w:ascii="Arial" w:cs="Arial" w:eastAsia="Arial" w:hAnsi="Arial"/>
          <w:sz w:val="22"/>
          <w:szCs w:val="22"/>
        </w:rPr>
        <w:t xml:space="preserve">Upon termination or expiry of the Controller's subscription for any reason:</w:t>
      </w:r>
    </w:p>
    <w:p>
      <w:pPr>
        <w:pStyle w:val="ListParagraph"/>
        <w:numPr>
          <w:ilvl w:val="0"/>
          <w:numId w:val="2"/>
        </w:numPr>
        <w:spacing w:after="60" w:before="60"/>
      </w:pPr>
      <w:r>
        <w:rPr>
          <w:rFonts w:ascii="Arial" w:cs="Arial" w:eastAsia="Arial" w:hAnsi="Arial"/>
          <w:sz w:val="22"/>
          <w:szCs w:val="22"/>
        </w:rPr>
        <w:t xml:space="preserve">The Processor shall, at the Controller's written election, either delete or return all Controller Personal Data within 30 days</w:t>
      </w:r>
    </w:p>
    <w:p>
      <w:pPr>
        <w:pStyle w:val="ListParagraph"/>
        <w:numPr>
          <w:ilvl w:val="0"/>
          <w:numId w:val="2"/>
        </w:numPr>
        <w:spacing w:after="60" w:before="60"/>
      </w:pPr>
      <w:r>
        <w:rPr>
          <w:rFonts w:ascii="Arial" w:cs="Arial" w:eastAsia="Arial" w:hAnsi="Arial"/>
          <w:sz w:val="22"/>
          <w:szCs w:val="22"/>
        </w:rPr>
        <w:t xml:space="preserve">Following deletion or return, the Processor shall certify in writing that all Personal Data has been deleted from its systems and those of its Sub-Processors, except to the extent retention is required by applicable law</w:t>
      </w:r>
    </w:p>
    <w:p>
      <w:pPr>
        <w:pStyle w:val="ListParagraph"/>
        <w:numPr>
          <w:ilvl w:val="0"/>
          <w:numId w:val="2"/>
        </w:numPr>
        <w:spacing w:after="60" w:before="60"/>
      </w:pPr>
      <w:r>
        <w:rPr>
          <w:rFonts w:ascii="Arial" w:cs="Arial" w:eastAsia="Arial" w:hAnsi="Arial"/>
          <w:sz w:val="22"/>
          <w:szCs w:val="22"/>
        </w:rPr>
        <w:t xml:space="preserve">Billing records will be retained for 7 years in accordance with UK financial record-keeping obligations, regardless of the above</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12. Audit Rights</w:t>
      </w:r>
    </w:p>
    <w:p>
      <w:pPr>
        <w:spacing w:after="80" w:before="80"/>
      </w:pPr>
      <w:r>
        <w:rPr>
          <w:rFonts w:ascii="Arial" w:cs="Arial" w:eastAsia="Arial" w:hAnsi="Arial"/>
          <w:sz w:val="22"/>
          <w:szCs w:val="22"/>
        </w:rPr>
        <w:t xml:space="preserve">The Controller may, on reasonable written notice of at least 30 days, request that the Processor provide information demonstrating compliance with this DPA. The Processor shall make available all information reasonably necessary to demonstrate compliance, including relevant audit reports from Sub-Processors where available.</w:t>
      </w:r>
    </w:p>
    <w:p>
      <w:pPr>
        <w:spacing w:after="80" w:before="80"/>
      </w:pPr>
      <w:r>
        <w:rPr>
          <w:rFonts w:ascii="Arial" w:cs="Arial" w:eastAsia="Arial" w:hAnsi="Arial"/>
          <w:sz w:val="22"/>
          <w:szCs w:val="22"/>
        </w:rPr>
        <w:t xml:space="preserve">Where an audit is reasonably required beyond provision of documentation, the Controller may conduct such an audit (or appoint a suitably qualified auditor) at the Controller's cost, provided such audit does not unreasonably disrupt the Processor's operations and is conducted during normal business hours.</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13. Liability</w:t>
      </w:r>
    </w:p>
    <w:p>
      <w:pPr>
        <w:spacing w:after="80" w:before="80"/>
      </w:pPr>
      <w:r>
        <w:rPr>
          <w:rFonts w:ascii="Arial" w:cs="Arial" w:eastAsia="Arial" w:hAnsi="Arial"/>
          <w:sz w:val="22"/>
          <w:szCs w:val="22"/>
        </w:rPr>
        <w:t xml:space="preserve">Each party's liability under this DPA shall be subject to the limitations and exclusions of liability set out in the Dappiehub Terms of Service.</w:t>
      </w:r>
    </w:p>
    <w:p>
      <w:pPr>
        <w:spacing w:after="80" w:before="80"/>
      </w:pPr>
      <w:r>
        <w:rPr>
          <w:rFonts w:ascii="Arial" w:cs="Arial" w:eastAsia="Arial" w:hAnsi="Arial"/>
          <w:sz w:val="22"/>
          <w:szCs w:val="22"/>
        </w:rPr>
        <w:t xml:space="preserve">Where both parties are responsible for damage caused by a breach of UK GDPR or this DPA, their liability shall be apportioned according to the extent of their respective responsibility.</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14. Governing Law and Jurisdiction</w:t>
      </w:r>
    </w:p>
    <w:p>
      <w:pPr>
        <w:spacing w:after="80" w:before="80"/>
      </w:pPr>
      <w:r>
        <w:rPr>
          <w:rFonts w:ascii="Arial" w:cs="Arial" w:eastAsia="Arial" w:hAnsi="Arial"/>
          <w:sz w:val="22"/>
          <w:szCs w:val="22"/>
        </w:rPr>
        <w:t xml:space="preserve">This DPA shall be governed by and construed in accordance with the laws of England and Wales. Each party irrevocably submits to the exclusive jurisdiction of the courts of England and Wales in relation to any dispute arising from or in connection with this DPA.</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15. Order of Precedence</w:t>
      </w:r>
    </w:p>
    <w:p>
      <w:pPr>
        <w:spacing w:after="80" w:before="80"/>
      </w:pPr>
      <w:r>
        <w:rPr>
          <w:rFonts w:ascii="Arial" w:cs="Arial" w:eastAsia="Arial" w:hAnsi="Arial"/>
          <w:sz w:val="22"/>
          <w:szCs w:val="22"/>
        </w:rPr>
        <w:t xml:space="preserve">In the event of any conflict or inconsistency between this DPA and the Dappiehub Terms of Service, this DPA shall prevail to the extent of the conflict in relation to data protection matters only.</w:t>
      </w:r>
    </w:p>
    <w:p>
      <w:pPr>
        <w:pBdr>
          <w:bottom w:val="single" w:color="1A6B8A" w:sz="4" w:space="1"/>
        </w:pBdr>
        <w:spacing w:after="160" w:before="160"/>
      </w:pPr>
    </w:p>
    <w:p>
      <w:pPr>
        <w:pStyle w:val="Heading1"/>
        <w:spacing w:after="120" w:before="360"/>
      </w:pPr>
      <w:r>
        <w:rPr>
          <w:rFonts w:ascii="Arial" w:cs="Arial" w:eastAsia="Arial" w:hAnsi="Arial"/>
          <w:b/>
          <w:bCs/>
          <w:color w:val="1A6B8A"/>
          <w:sz w:val="28"/>
          <w:szCs w:val="28"/>
        </w:rPr>
        <w:t xml:space="preserve">16. Updates to This DPA</w:t>
      </w:r>
    </w:p>
    <w:p>
      <w:pPr>
        <w:spacing w:after="80" w:before="80"/>
      </w:pPr>
      <w:r>
        <w:rPr>
          <w:rFonts w:ascii="Arial" w:cs="Arial" w:eastAsia="Arial" w:hAnsi="Arial"/>
          <w:sz w:val="22"/>
          <w:szCs w:val="22"/>
        </w:rPr>
        <w:t xml:space="preserve">Dappiehub may update this DPA from time to time to reflect changes in applicable law, regulatory guidance, or its processing activities. Material changes will be notified to the Controller at least 14 days in advance by email. Continued use of the Platform following the effective date of any update constitutes acceptance of the revised DPA.</w:t>
      </w:r>
    </w:p>
    <w:p>
      <w:pPr>
        <w:pBdr>
          <w:bottom w:val="single" w:color="1A6B8A" w:sz="4" w:space="1"/>
        </w:pBdr>
        <w:spacing w:after="160" w:before="160"/>
      </w:pPr>
    </w:p>
    <w:p>
      <w:pPr>
        <w:spacing w:after="80" w:before="160"/>
      </w:pPr>
      <w:r>
        <w:rPr>
          <w:rFonts w:ascii="Arial" w:cs="Arial" w:eastAsia="Arial" w:hAnsi="Arial"/>
          <w:b/>
          <w:bCs/>
          <w:color w:val="1A6B8A"/>
          <w:sz w:val="22"/>
          <w:szCs w:val="22"/>
        </w:rPr>
        <w:t xml:space="preserve">Note for Legal Review</w:t>
      </w:r>
    </w:p>
    <w:p>
      <w:pPr>
        <w:spacing w:after="80" w:before="80"/>
      </w:pPr>
      <w:r>
        <w:rPr>
          <w:rFonts w:ascii="Arial" w:cs="Arial" w:eastAsia="Arial" w:hAnsi="Arial"/>
          <w:i/>
          <w:iCs/>
          <w:color w:val="555555"/>
          <w:sz w:val="22"/>
          <w:szCs w:val="22"/>
        </w:rPr>
        <w:t xml:space="preserve">This DPA has been drafted to comply with UK GDPR Article 28 requirements. Before publishing, we recommend having a solicitor with UK data protection experience review this document, particularly Clauses 6 (international transfers), 12 (audit rights), and 13 (liability), which may benefit from bespoke negotiation positions depending on your risk appetite.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1A6B8A"/>
      <w:sz w:val="28"/>
      <w:szCs w:val="28"/>
    </w:rPr>
  </w:style>
  <w:style w:type="paragraph" w:styleId="Heading2">
    <w:name w:val="Heading 2"/>
    <w:basedOn w:val="Normal"/>
    <w:next w:val="Normal"/>
    <w:qFormat/>
    <w:pPr>
      <w:spacing w:after="80" w:before="240"/>
      <w:outlineLvl w:val="1"/>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2026-06-30T11:15:23.862Z</dcterms:created>
  <dcterms:modified xsi:type="dcterms:W3CDTF">2026-06-30T11:15:23.862Z</dcterms:modified>
</cp:coreProperties>
</file>

<file path=docProps/custom.xml><?xml version="1.0" encoding="utf-8"?>
<Properties xmlns="http://schemas.openxmlformats.org/officeDocument/2006/custom-properties" xmlns:vt="http://schemas.openxmlformats.org/officeDocument/2006/docPropsVTypes"/>
</file>